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НАГРАЖДЕНИЕ ПОБЕДИТЕЛЕЙ</w:t>
      </w:r>
    </w:p>
    <w:p>
      <w:pPr>
        <w:pStyle w:val="List Paragraph"/>
        <w:ind w:left="0"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ind w:left="0" w:firstLine="708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Победители конкурса объявляются в каждой номинации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каждой возрастной группе и по каждому инструменту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Победителям присваивается звание Лауреата международного конкурса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</w:t>
      </w:r>
      <w:r>
        <w:rPr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III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степени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Все участники конкурса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ставшие Лауреатами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награждаются дипломами участника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Жюри имеет право по своему усмотрению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Normal.0"/>
        <w:tabs>
          <w:tab w:val="clear" w:pos="617"/>
        </w:tabs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присудить одно Гран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 на весь конкурс помимо званий лауреатов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C"/>
        <w:spacing w:before="0"/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присуждать не все дипломы и соответствующие им звания лауреатов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C"/>
        <w:spacing w:before="0"/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pacing w:val="-2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присуждать дипломы за лучшее исполнение отдельных номеров программы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C"/>
        <w:spacing w:before="0"/>
        <w:ind w:firstLine="709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присуждать специальные дипломы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По умолчанию C"/>
        <w:spacing w:before="0"/>
        <w:ind w:firstLine="709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 в случае нарушения конкурсных требований прослушивать конкурсную программу не полностью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снимать конкурсные номера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/>
          <w:outline w:val="0"/>
          <w:color w:val="000000"/>
          <w:sz w:val="20"/>
          <w:szCs w:val="2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Решение жюри конкурса пересмотру не подлежит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Объявление результатов состоится на Гала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концерте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Победители конкурса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 рекомендации жюри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принимают участие в заключительном Гала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концерте конкурса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uppressAutoHyphens w:val="1"/>
        <w:ind w:firstLine="708"/>
        <w:rPr>
          <w:rStyle w:val="Нет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Результаты выступлений размещаются на официальном сайте конкурса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"http://www.guslicomp.ru"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guslicomp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на сайте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"http://www.prokofievcollege.ru"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prokofievcollege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 следующий день после окончания конкурсного дня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708"/>
        <w:rPr>
          <w:rStyle w:val="Нет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проведения конкурса в дистанционном формате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результаты конкурса будут опубликованы на сайтах</w:t>
      </w:r>
      <w:r>
        <w:rPr>
          <w:rStyle w:val="Нет"/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ru-RU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ru-RU"/>
          <w14:textFill>
            <w14:solidFill>
              <w14:srgbClr w14:val="000000"/>
            </w14:solidFill>
          </w14:textFill>
        </w:rPr>
        <w:instrText xml:space="preserve"> HYPERLINK "http://www.guslicomp.ru"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ru-RU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www.guslicomp.ru</w:t>
      </w:r>
      <w:r>
        <w:rPr/>
        <w:fldChar w:fldCharType="end" w:fldLock="0"/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"https://prokofievcollege.ru/"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https</w:t>
      </w:r>
      <w:r>
        <w:rPr>
          <w:rStyle w:val="Hyperlink.1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://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prokofievcollege</w:t>
      </w:r>
      <w:r>
        <w:rPr>
          <w:rStyle w:val="Hyperlink.1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>
          <w:rStyle w:val="Hyperlink.1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/</w:t>
      </w:r>
      <w:r>
        <w:rPr/>
        <w:fldChar w:fldCharType="end" w:fldLock="0"/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на следующий день после окончания конкурсного дня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оригиналы дипломов будут выдаваться по мере готовности одному представителю от муниципального образования за все учреждения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left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ПОРЯДОК ПОДАЧИ ЗАЯВОК НА УЧАСТИЕ В КОНКУРСЕ</w:t>
      </w:r>
    </w:p>
    <w:p>
      <w:pPr>
        <w:pStyle w:val="Normal.0"/>
        <w:suppressAutoHyphens w:val="1"/>
        <w:rPr>
          <w:rStyle w:val="Нет"/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ind w:firstLine="425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Для участия в конкурсе заявки отправляются</w:t>
      </w:r>
      <w:r>
        <w:rPr>
          <w:rStyle w:val="Нет"/>
          <w:rFonts w:ascii="Times New Roman" w:hAnsi="Times New Roman" w:hint="default"/>
          <w:outline w:val="0"/>
          <w:color w:val="000000"/>
          <w:spacing w:val="-1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 электронной почте по адресу</w:t>
      </w:r>
      <w:r>
        <w:rPr>
          <w:rStyle w:val="Нет"/>
          <w:rFonts w:ascii="Times New Roman" w:hAnsi="Times New Roman"/>
          <w:outline w:val="0"/>
          <w:color w:val="000000"/>
          <w:spacing w:val="-16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guslicompetition@gmail.com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до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апреля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2023 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года 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включительно</w:t>
      </w:r>
      <w:r>
        <w:rPr>
          <w:rStyle w:val="Нет"/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 пометкой «Заявка на Кубок Подмосковья» и ФИО участника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инструмент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возрастная группа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Заявка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№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1)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должна быть заполнена печатным текстом по предложенной форме на каждого исполнителя отдельно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Скан Заявки с подписью 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jpg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pdf).</w:t>
      </w:r>
    </w:p>
    <w:p>
      <w:pPr>
        <w:pStyle w:val="Normal.0"/>
        <w:tabs>
          <w:tab w:val="clear" w:pos="617"/>
        </w:tabs>
        <w:ind w:firstLine="567"/>
        <w:rPr>
          <w:rStyle w:val="Нет"/>
          <w:rFonts w:ascii="Times New Roman" w:cs="Times New Roman" w:hAnsi="Times New Roman" w:eastAsia="Times New Roman"/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567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 ранее чем через сутки после отправки анкеты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заявки обязательно свяжитесь с Оргкомитетом Конкурса по телефону или электронной почте и убедитесь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что Ваша информация получена и заявка зарегистрирована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!</w:t>
      </w:r>
    </w:p>
    <w:p>
      <w:pPr>
        <w:pStyle w:val="Normal.0"/>
        <w:tabs>
          <w:tab w:val="clear" w:pos="617"/>
        </w:tabs>
        <w:ind w:firstLine="567"/>
        <w:jc w:val="left"/>
        <w:rPr>
          <w:rStyle w:val="Нет"/>
          <w:rFonts w:ascii="Times New Roman" w:cs="Times New Roman" w:hAnsi="Times New Roman" w:eastAsia="Times New Roman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567"/>
        <w:jc w:val="left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 заявке прилагается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Заявление о согласии на обработку персональных данных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приложение №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2)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случае усложнения эпидемиологической ситуации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ссылка на видеоматериал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видео должно быть размещено в сети интернет со ссылкой на него в заявке участника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Свидетельство о рождении или паспорт 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копия</w:t>
      </w:r>
      <w:r>
        <w:rPr>
          <w:rStyle w:val="Нет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);</w:t>
      </w:r>
    </w:p>
    <w:p>
      <w:pPr>
        <w:pStyle w:val="Normal.0"/>
        <w:numPr>
          <w:ilvl w:val="0"/>
          <w:numId w:val="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финансовых условий участия 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скан квитанции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договор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счёт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4"/>
  </w:abstractNum>
  <w:abstractNum w:abstractNumId="1">
    <w:multiLevelType w:val="hybridMultilevel"/>
    <w:styleLink w:val="Импортированный стиль 4"/>
    <w:lvl w:ilvl="0">
      <w:start w:val="1"/>
      <w:numFmt w:val="bullet"/>
      <w:suff w:val="tab"/>
      <w:lvlText w:val="·"/>
      <w:lvlJc w:val="left"/>
      <w:pPr>
        <w:tabs>
          <w:tab w:val="num" w:pos="617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54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26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880"/>
        </w:tabs>
        <w:ind w:left="2983" w:hanging="46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70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42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040"/>
        </w:tabs>
        <w:ind w:left="5143" w:hanging="46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86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583" w:hanging="46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5"/>
  </w:abstractNum>
  <w:abstractNum w:abstractNumId="3">
    <w:multiLevelType w:val="hybridMultilevel"/>
    <w:styleLink w:val="Импортированный стиль 5"/>
    <w:lvl w:ilvl="0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6"/>
  </w:abstractNum>
  <w:abstractNum w:abstractNumId="5">
    <w:multiLevelType w:val="hybridMultilevel"/>
    <w:styleLink w:val="Импортированный стиль 6"/>
    <w:lvl w:ilvl="0">
      <w:start w:val="1"/>
      <w:numFmt w:val="bullet"/>
      <w:suff w:val="tab"/>
      <w:lvlText w:val="·"/>
      <w:lvlJc w:val="left"/>
      <w:pPr>
        <w:tabs>
          <w:tab w:val="num" w:pos="617"/>
        </w:tabs>
        <w:ind w:left="708" w:hanging="70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617"/>
        </w:tabs>
        <w:ind w:left="708" w:hanging="6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440"/>
        </w:tabs>
        <w:ind w:left="1531" w:hanging="77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2160"/>
        </w:tabs>
        <w:ind w:left="2251" w:hanging="76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2880"/>
        </w:tabs>
        <w:ind w:left="2971" w:hanging="75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3600"/>
        </w:tabs>
        <w:ind w:left="3691" w:hanging="73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4320"/>
        </w:tabs>
        <w:ind w:left="4411" w:hanging="72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040"/>
        </w:tabs>
        <w:ind w:left="5131" w:hanging="71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5760"/>
        </w:tabs>
        <w:ind w:left="5851" w:hanging="70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 C">
    <w:name w:val="По умолчанию C"/>
    <w:next w:val="По умолчанию C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:lang w:val="en-US"/>
      <w14:textFill>
        <w14:solidFill>
          <w14:srgbClr w14:val="000000"/>
        </w14:solidFill>
      </w14:textFill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:lang w:val="ru-RU"/>
      <w14:textFill>
        <w14:solidFill>
          <w14:srgbClr w14:val="000000"/>
        </w14:solidFill>
      </w14:textFill>
    </w:rPr>
  </w:style>
  <w:style w:type="numbering" w:styleId="Импортированный стиль 4">
    <w:name w:val="Импортированный стиль 4"/>
    <w:pPr>
      <w:numPr>
        <w:numId w:val="1"/>
      </w:numPr>
    </w:pPr>
  </w:style>
  <w:style w:type="numbering" w:styleId="Импортированный стиль 5">
    <w:name w:val="Импортированный стиль 5"/>
    <w:pPr>
      <w:numPr>
        <w:numId w:val="3"/>
      </w:numPr>
    </w:pPr>
  </w:style>
  <w:style w:type="numbering" w:styleId="Импортированный стиль 6">
    <w:name w:val="Импортированный стиль 6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